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07E85" w14:textId="07CBB3E0" w:rsidR="00E43B5B" w:rsidRPr="00A32ABD" w:rsidRDefault="00E43B5B" w:rsidP="00A32ABD">
      <w:pPr>
        <w:spacing w:line="360" w:lineRule="auto"/>
        <w:rPr>
          <w:b/>
          <w:bCs/>
          <w:i/>
          <w:iCs/>
          <w:sz w:val="21"/>
          <w:szCs w:val="21"/>
          <w:lang w:val="nl-NL"/>
        </w:rPr>
      </w:pPr>
      <w:r w:rsidRPr="00E43B5B">
        <w:rPr>
          <w:b/>
          <w:bCs/>
          <w:i/>
          <w:iCs/>
          <w:sz w:val="21"/>
          <w:szCs w:val="21"/>
          <w:lang w:val="nl-NL"/>
        </w:rPr>
        <w:t>Honger en ondervoeding</w:t>
      </w:r>
    </w:p>
    <w:p w14:paraId="3C45695D" w14:textId="7EA1913A" w:rsidR="00E43B5B" w:rsidRPr="00783635" w:rsidRDefault="00E43B5B" w:rsidP="00A32ABD">
      <w:pPr>
        <w:spacing w:line="360" w:lineRule="auto"/>
        <w:rPr>
          <w:sz w:val="21"/>
          <w:szCs w:val="21"/>
          <w:lang w:val="nl-NL"/>
        </w:rPr>
      </w:pPr>
      <w:r w:rsidRPr="00783635">
        <w:rPr>
          <w:sz w:val="21"/>
          <w:szCs w:val="21"/>
          <w:lang w:val="nl-NL"/>
        </w:rPr>
        <w:t>Het aantal mensen dat honger heeft, neemt sinds 2014 langzaam toe. Volgens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 xml:space="preserve">de meest recente schattingen lijden ongeveer 690 miljoen mensen honger (ongeveer 8,9% van de </w:t>
      </w:r>
      <w:r w:rsidRPr="00783635">
        <w:rPr>
          <w:sz w:val="21"/>
          <w:szCs w:val="21"/>
          <w:lang w:val="nl-NL"/>
        </w:rPr>
        <w:t>wereldbevolking</w:t>
      </w:r>
      <w:r w:rsidRPr="00783635">
        <w:rPr>
          <w:sz w:val="21"/>
          <w:szCs w:val="21"/>
          <w:lang w:val="nl-NL"/>
        </w:rPr>
        <w:t>). Het grootste deel van de ondervoede bevolking is te vinden in Azië (381 miljoen mensen), gevolgd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door het Afrikaanse continent met meer dan 250 miljoen mensen, dit is de regio met de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hoogste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toename van het aantal gevallen.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Ondervoeding in al zijn vormen blijft vandaag de dag een uitdaging. In 2019 waren 144 miljoen (21,3%) van de kinderen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 xml:space="preserve">jonger dan 5 jaar zijn </w:t>
      </w:r>
      <w:r w:rsidR="00A32ABD">
        <w:rPr>
          <w:sz w:val="21"/>
          <w:szCs w:val="21"/>
          <w:lang w:val="nl-NL"/>
        </w:rPr>
        <w:t>onvolgroeid</w:t>
      </w:r>
      <w:r w:rsidRPr="00783635">
        <w:rPr>
          <w:sz w:val="21"/>
          <w:szCs w:val="21"/>
          <w:lang w:val="nl-NL"/>
        </w:rPr>
        <w:t>, 6,9% (47 miljoen) is verspild en 5,6% (38,3 miljoen) heeft overgewicht.</w:t>
      </w:r>
    </w:p>
    <w:p w14:paraId="3CA95928" w14:textId="47CE24FA" w:rsidR="00E43B5B" w:rsidRPr="00783635" w:rsidRDefault="00E43B5B" w:rsidP="00A32ABD">
      <w:pPr>
        <w:spacing w:line="360" w:lineRule="auto"/>
        <w:rPr>
          <w:sz w:val="21"/>
          <w:szCs w:val="21"/>
          <w:lang w:val="nl-NL"/>
        </w:rPr>
      </w:pPr>
    </w:p>
    <w:p w14:paraId="38BE8600" w14:textId="764E0F33" w:rsidR="00E43B5B" w:rsidRPr="00783635" w:rsidRDefault="00E43B5B" w:rsidP="00A32ABD">
      <w:pPr>
        <w:spacing w:line="360" w:lineRule="auto"/>
        <w:rPr>
          <w:sz w:val="21"/>
          <w:szCs w:val="21"/>
          <w:u w:val="single"/>
          <w:lang w:val="nl-NL"/>
        </w:rPr>
      </w:pPr>
      <w:r w:rsidRPr="00783635">
        <w:rPr>
          <w:sz w:val="21"/>
          <w:szCs w:val="21"/>
          <w:u w:val="single"/>
          <w:lang w:val="nl-NL"/>
        </w:rPr>
        <w:t>Maar wat is honger?</w:t>
      </w:r>
    </w:p>
    <w:p w14:paraId="4A6D75AB" w14:textId="33ECE884" w:rsidR="00E43B5B" w:rsidRPr="00783635" w:rsidRDefault="00E43B5B" w:rsidP="00A32ABD">
      <w:pPr>
        <w:spacing w:line="360" w:lineRule="auto"/>
        <w:rPr>
          <w:sz w:val="21"/>
          <w:szCs w:val="21"/>
          <w:lang w:val="nl-NL"/>
        </w:rPr>
      </w:pPr>
      <w:r w:rsidRPr="00783635">
        <w:rPr>
          <w:sz w:val="21"/>
          <w:szCs w:val="21"/>
          <w:lang w:val="nl-NL"/>
        </w:rPr>
        <w:t>Volgens de Global Hunger Index is het probleem van honger complex en hebben ze verschillende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concepten gerelateerd:</w:t>
      </w:r>
    </w:p>
    <w:p w14:paraId="22A0EF0A" w14:textId="12FF195E" w:rsidR="00783635" w:rsidRP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5F7CF09B" w14:textId="5E9196F1" w:rsidR="00783635" w:rsidRDefault="00783635" w:rsidP="00A32ABD">
      <w:p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Honger</w:t>
      </w:r>
      <w:r w:rsidRPr="00783635">
        <w:rPr>
          <w:sz w:val="21"/>
          <w:szCs w:val="21"/>
          <w:lang w:val="nl-NL"/>
        </w:rPr>
        <w:t xml:space="preserve"> wordt meestal begrepen als een verwijzing naar het leed dat gepaard gaat met een gebrek aan voldoende calorieën.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De Voedsel- en Landbouworganisatie van de Verenigde Naties (FAO) definieert voedselgebrek,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of ondervoeding, omdat de consumptie van te weinig calorieën om de minimale hoeveelheid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voedingsenergie die elk individu nodig heeft om een gezond en productief leven te leiden, gezien het feit dat</w:t>
      </w:r>
      <w:r w:rsidRPr="00783635"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 xml:space="preserve">het geslacht, de leeftijd, het postuur en het fysieke </w:t>
      </w:r>
      <w:r w:rsidRPr="00783635">
        <w:rPr>
          <w:b/>
          <w:bCs/>
          <w:sz w:val="21"/>
          <w:szCs w:val="21"/>
          <w:lang w:val="nl-NL"/>
        </w:rPr>
        <w:t>activiteitsniveau</w:t>
      </w:r>
      <w:r w:rsidRPr="00783635">
        <w:rPr>
          <w:sz w:val="21"/>
          <w:szCs w:val="21"/>
          <w:lang w:val="nl-NL"/>
        </w:rPr>
        <w:t xml:space="preserve"> van de persoon.</w:t>
      </w:r>
    </w:p>
    <w:p w14:paraId="12587C49" w14:textId="67A4C31A" w:rsid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092A7720" w14:textId="1D37874B" w:rsidR="00783635" w:rsidRDefault="00783635" w:rsidP="00A32ABD">
      <w:p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Ondervoeding</w:t>
      </w:r>
      <w:r w:rsidRPr="00783635">
        <w:rPr>
          <w:sz w:val="21"/>
          <w:szCs w:val="21"/>
          <w:lang w:val="nl-NL"/>
        </w:rPr>
        <w:t xml:space="preserve"> gaat verder dan calorieën en betekent tekorten in een of alle van de volgende: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energie, eiwitten en/of essentiële vitaminen en mineralen. Ondervoeding is het gevolg van onvoldoende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inname van voedsel in termen van kwantiteit of kwaliteit, slecht gebruik van voedingsstoffen als gevolg van infecties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of andere ziekten, of een combinatie van deze factoren. Deze worden op hun beurt veroorzaakt door een reeks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factoren, waaronder voedselonzekerheid in huishoudens; ontoereikende praktijken op het gebied van gezondheid van moeders of kinderopvang;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of onvoldoende toegang tot gezondheidsdiensten, veilig water en sanitaire voorzieningen.</w:t>
      </w:r>
    </w:p>
    <w:p w14:paraId="6CFE7F92" w14:textId="77777777" w:rsidR="00783635" w:rsidRP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36DD9A55" w14:textId="2BAA1841" w:rsidR="00783635" w:rsidRDefault="00783635" w:rsidP="00A32ABD">
      <w:p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Ondervoeding</w:t>
      </w:r>
      <w:r w:rsidRPr="00783635">
        <w:rPr>
          <w:sz w:val="21"/>
          <w:szCs w:val="21"/>
          <w:lang w:val="nl-NL"/>
        </w:rPr>
        <w:t xml:space="preserve"> verwijst meer in het algemeen naar zowel ondervoeding (problemen veroorzaakt door tekorten) als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overvoeding (problemen veroorzaakt door onevenwichtige diëten, zoals het consumeren van te veel calorieën in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relatie tot vereisten met of zonder lage inname van micronutriëntenrijke voedingsmiddelen).</w:t>
      </w:r>
    </w:p>
    <w:p w14:paraId="377151DA" w14:textId="115DE2AD" w:rsid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0DB61B77" w14:textId="685B99AB" w:rsidR="00783635" w:rsidRDefault="00783635" w:rsidP="00A32ABD">
      <w:pPr>
        <w:spacing w:line="360" w:lineRule="auto"/>
        <w:rPr>
          <w:sz w:val="21"/>
          <w:szCs w:val="21"/>
          <w:u w:val="single"/>
          <w:lang w:val="nl-NL"/>
        </w:rPr>
      </w:pPr>
      <w:r w:rsidRPr="00783635">
        <w:rPr>
          <w:sz w:val="21"/>
          <w:szCs w:val="21"/>
          <w:u w:val="single"/>
          <w:lang w:val="nl-NL"/>
        </w:rPr>
        <w:t>Hoe kunnen we honger meten?</w:t>
      </w:r>
    </w:p>
    <w:p w14:paraId="1D23152E" w14:textId="3A0CB73C" w:rsidR="00A32ABD" w:rsidRPr="00A32ABD" w:rsidRDefault="00A32ABD" w:rsidP="00A32ABD">
      <w:pPr>
        <w:spacing w:line="360" w:lineRule="auto"/>
        <w:rPr>
          <w:sz w:val="21"/>
          <w:szCs w:val="21"/>
          <w:lang w:val="nl-NL"/>
        </w:rPr>
      </w:pPr>
      <w:r w:rsidRPr="00A32ABD">
        <w:rPr>
          <w:sz w:val="21"/>
          <w:szCs w:val="21"/>
          <w:lang w:val="nl-NL"/>
        </w:rPr>
        <w:t>In de wereldwijde hongerindex zijn er vier indicatoren die worden gebruikt om honger te meten:</w:t>
      </w:r>
    </w:p>
    <w:p w14:paraId="4255CDFB" w14:textId="365D6268" w:rsidR="00783635" w:rsidRDefault="00783635" w:rsidP="00A32ABD">
      <w:pPr>
        <w:numPr>
          <w:ilvl w:val="0"/>
          <w:numId w:val="1"/>
        </w:num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Ondervoeding</w:t>
      </w:r>
      <w:r w:rsidRPr="00783635">
        <w:rPr>
          <w:sz w:val="21"/>
          <w:szCs w:val="21"/>
          <w:lang w:val="nl-NL"/>
        </w:rPr>
        <w:t>: het deel van de bevolking dat ondervoed is (dat wil zeggen, van wie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calorie-inname is onvoldoende)</w:t>
      </w:r>
      <w:r>
        <w:rPr>
          <w:sz w:val="21"/>
          <w:szCs w:val="21"/>
          <w:lang w:val="nl-NL"/>
        </w:rPr>
        <w:t>;</w:t>
      </w:r>
    </w:p>
    <w:p w14:paraId="1B05F214" w14:textId="77777777" w:rsidR="00783635" w:rsidRP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5953F867" w14:textId="3794FE75" w:rsidR="00783635" w:rsidRDefault="00783635" w:rsidP="00A32ABD">
      <w:pPr>
        <w:numPr>
          <w:ilvl w:val="0"/>
          <w:numId w:val="1"/>
        </w:num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Kinderverspilling</w:t>
      </w:r>
      <w:r w:rsidRPr="00783635">
        <w:rPr>
          <w:sz w:val="21"/>
          <w:szCs w:val="21"/>
          <w:lang w:val="nl-NL"/>
        </w:rPr>
        <w:t>: het aandeel kinderen jonger dan vijf jaar dat wordt verspild (dat wil zeggen, wie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hebben een laag gewicht voor hun lengte, wat acute ondervoeding weerspiegelt)</w:t>
      </w:r>
      <w:r>
        <w:rPr>
          <w:sz w:val="21"/>
          <w:szCs w:val="21"/>
          <w:lang w:val="nl-NL"/>
        </w:rPr>
        <w:t>;</w:t>
      </w:r>
    </w:p>
    <w:p w14:paraId="6654EC13" w14:textId="62F17243" w:rsid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63B95A9D" w14:textId="77777777" w:rsidR="00783635" w:rsidRP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28E0B386" w14:textId="523CF57E" w:rsidR="00783635" w:rsidRDefault="00783635" w:rsidP="00A32ABD">
      <w:pPr>
        <w:numPr>
          <w:ilvl w:val="0"/>
          <w:numId w:val="1"/>
        </w:num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Kinderachterstand</w:t>
      </w:r>
      <w:r w:rsidRPr="00783635">
        <w:rPr>
          <w:sz w:val="21"/>
          <w:szCs w:val="21"/>
          <w:lang w:val="nl-NL"/>
        </w:rPr>
        <w:t>: het aandeel kinderen jonger dan vijf jaar dat onvolgroeid is (dat wil zeggen, wie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hebben een lage lengte voor hun leeftijd, wat chronische ondervoeding weerspiegelt)</w:t>
      </w:r>
      <w:r>
        <w:rPr>
          <w:sz w:val="21"/>
          <w:szCs w:val="21"/>
          <w:lang w:val="nl-NL"/>
        </w:rPr>
        <w:t xml:space="preserve"> en</w:t>
      </w:r>
    </w:p>
    <w:p w14:paraId="5EC311BE" w14:textId="77777777" w:rsidR="00783635" w:rsidRDefault="00783635" w:rsidP="00A32ABD">
      <w:pPr>
        <w:spacing w:line="360" w:lineRule="auto"/>
        <w:rPr>
          <w:sz w:val="21"/>
          <w:szCs w:val="21"/>
          <w:lang w:val="nl-NL"/>
        </w:rPr>
      </w:pPr>
    </w:p>
    <w:p w14:paraId="41B951C2" w14:textId="7F4B0E64" w:rsidR="00783635" w:rsidRDefault="00783635" w:rsidP="00A32ABD">
      <w:pPr>
        <w:numPr>
          <w:ilvl w:val="0"/>
          <w:numId w:val="1"/>
        </w:numPr>
        <w:spacing w:line="360" w:lineRule="auto"/>
        <w:rPr>
          <w:sz w:val="21"/>
          <w:szCs w:val="21"/>
          <w:lang w:val="nl-NL"/>
        </w:rPr>
      </w:pPr>
      <w:r w:rsidRPr="00783635">
        <w:rPr>
          <w:b/>
          <w:bCs/>
          <w:sz w:val="21"/>
          <w:szCs w:val="21"/>
          <w:lang w:val="nl-NL"/>
        </w:rPr>
        <w:t>Kindersterfte</w:t>
      </w:r>
      <w:r w:rsidRPr="00783635">
        <w:rPr>
          <w:sz w:val="21"/>
          <w:szCs w:val="21"/>
          <w:lang w:val="nl-NL"/>
        </w:rPr>
        <w:t>: het sterftecijfer van kinderen jonger dan vijf jaar (deels een reflectie</w:t>
      </w:r>
      <w:r>
        <w:rPr>
          <w:sz w:val="21"/>
          <w:szCs w:val="21"/>
          <w:lang w:val="nl-NL"/>
        </w:rPr>
        <w:t xml:space="preserve"> </w:t>
      </w:r>
      <w:r w:rsidRPr="00783635">
        <w:rPr>
          <w:sz w:val="21"/>
          <w:szCs w:val="21"/>
          <w:lang w:val="nl-NL"/>
        </w:rPr>
        <w:t>van de fatale mix van onvoldoende voeding en ongezonde omgevingen).</w:t>
      </w:r>
    </w:p>
    <w:p w14:paraId="69C993A3" w14:textId="77777777" w:rsidR="00A32ABD" w:rsidRDefault="00A32ABD" w:rsidP="00A32ABD">
      <w:pPr>
        <w:pStyle w:val="Lijstalinea"/>
        <w:rPr>
          <w:sz w:val="21"/>
          <w:szCs w:val="21"/>
          <w:lang w:val="nl-NL"/>
        </w:rPr>
      </w:pPr>
    </w:p>
    <w:p w14:paraId="7D7417FF" w14:textId="77777777" w:rsidR="00A32ABD" w:rsidRPr="00A32ABD" w:rsidRDefault="00A32ABD" w:rsidP="00A32ABD">
      <w:pPr>
        <w:spacing w:line="360" w:lineRule="auto"/>
        <w:ind w:left="720"/>
        <w:rPr>
          <w:sz w:val="21"/>
          <w:szCs w:val="21"/>
          <w:lang w:val="nl-NL"/>
        </w:rPr>
      </w:pPr>
    </w:p>
    <w:p w14:paraId="6CE679B4" w14:textId="14DE532A" w:rsidR="00AF351C" w:rsidRDefault="00783635" w:rsidP="00A32ABD">
      <w:pPr>
        <w:spacing w:line="360" w:lineRule="auto"/>
        <w:rPr>
          <w:sz w:val="21"/>
          <w:szCs w:val="21"/>
          <w:lang w:val="nl-NL"/>
        </w:rPr>
      </w:pPr>
      <w:r w:rsidRPr="00783635">
        <w:rPr>
          <w:sz w:val="21"/>
          <w:szCs w:val="21"/>
          <w:lang w:val="nl-NL"/>
        </w:rPr>
        <w:t xml:space="preserve">De kaart van figuur 1 toont de </w:t>
      </w:r>
      <w:r w:rsidR="00AF351C">
        <w:rPr>
          <w:sz w:val="21"/>
          <w:szCs w:val="21"/>
          <w:lang w:val="nl-NL"/>
        </w:rPr>
        <w:t>algemene</w:t>
      </w:r>
      <w:r w:rsidRPr="00783635">
        <w:rPr>
          <w:sz w:val="21"/>
          <w:szCs w:val="21"/>
          <w:lang w:val="nl-NL"/>
        </w:rPr>
        <w:t xml:space="preserve"> </w:t>
      </w:r>
      <w:r w:rsidR="00AF351C">
        <w:rPr>
          <w:sz w:val="21"/>
          <w:szCs w:val="21"/>
          <w:lang w:val="nl-NL"/>
        </w:rPr>
        <w:t>honger</w:t>
      </w:r>
      <w:r w:rsidRPr="00783635">
        <w:rPr>
          <w:sz w:val="21"/>
          <w:szCs w:val="21"/>
          <w:lang w:val="nl-NL"/>
        </w:rPr>
        <w:t xml:space="preserve"> </w:t>
      </w:r>
      <w:r w:rsidR="00AF351C">
        <w:rPr>
          <w:sz w:val="21"/>
          <w:szCs w:val="21"/>
          <w:lang w:val="nl-NL"/>
        </w:rPr>
        <w:t>index</w:t>
      </w:r>
      <w:r w:rsidRPr="00783635">
        <w:rPr>
          <w:sz w:val="21"/>
          <w:szCs w:val="21"/>
          <w:lang w:val="nl-NL"/>
        </w:rPr>
        <w:t xml:space="preserve"> naar ernstniveau wereldwijd.</w:t>
      </w:r>
    </w:p>
    <w:p w14:paraId="7E3B5144" w14:textId="302927FC" w:rsidR="00AF351C" w:rsidRDefault="00783635" w:rsidP="00A32ABD">
      <w:pPr>
        <w:spacing w:line="360" w:lineRule="auto"/>
        <w:rPr>
          <w:sz w:val="21"/>
          <w:szCs w:val="21"/>
          <w:lang w:val="nl-NL"/>
        </w:rPr>
      </w:pPr>
      <w:r>
        <w:rPr>
          <w:noProof/>
          <w:sz w:val="21"/>
          <w:szCs w:val="21"/>
          <w:lang w:val="nl-NL"/>
        </w:rPr>
        <w:drawing>
          <wp:inline distT="0" distB="0" distL="0" distR="0" wp14:anchorId="486DF52A" wp14:editId="574F4A77">
            <wp:extent cx="6479540" cy="3021965"/>
            <wp:effectExtent l="0" t="0" r="0" b="635"/>
            <wp:docPr id="3" name="Afbeelding 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kaar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9384" w14:textId="58696EAC" w:rsidR="00AF351C" w:rsidRDefault="00AF351C" w:rsidP="00A32ABD">
      <w:pPr>
        <w:spacing w:line="360" w:lineRule="auto"/>
        <w:jc w:val="center"/>
        <w:rPr>
          <w:sz w:val="21"/>
          <w:szCs w:val="21"/>
          <w:lang w:val="en-US"/>
        </w:rPr>
      </w:pPr>
      <w:r w:rsidRPr="00AF351C">
        <w:rPr>
          <w:sz w:val="21"/>
          <w:szCs w:val="21"/>
          <w:lang w:val="en-US"/>
        </w:rPr>
        <w:t>Figure 1 – 202</w:t>
      </w:r>
      <w:r>
        <w:rPr>
          <w:sz w:val="21"/>
          <w:szCs w:val="21"/>
          <w:lang w:val="en-US"/>
        </w:rPr>
        <w:t>1</w:t>
      </w:r>
      <w:r w:rsidRPr="00AF351C">
        <w:rPr>
          <w:sz w:val="21"/>
          <w:szCs w:val="21"/>
          <w:lang w:val="en-US"/>
        </w:rPr>
        <w:t xml:space="preserve"> Global Hunger Index by Severity Level</w:t>
      </w:r>
    </w:p>
    <w:p w14:paraId="5FC793ED" w14:textId="0682C3F7" w:rsidR="00AF351C" w:rsidRDefault="00AF351C" w:rsidP="00A32ABD">
      <w:pPr>
        <w:spacing w:line="360" w:lineRule="auto"/>
        <w:jc w:val="center"/>
        <w:rPr>
          <w:sz w:val="21"/>
          <w:szCs w:val="21"/>
          <w:lang w:val="en-US"/>
        </w:rPr>
      </w:pPr>
    </w:p>
    <w:p w14:paraId="504FB8EA" w14:textId="35EFAB17" w:rsidR="00AF351C" w:rsidRPr="00AF351C" w:rsidRDefault="00AF351C" w:rsidP="00A32ABD">
      <w:pPr>
        <w:spacing w:line="360" w:lineRule="auto"/>
        <w:rPr>
          <w:b/>
          <w:bCs/>
          <w:sz w:val="21"/>
          <w:szCs w:val="21"/>
          <w:lang w:val="nl-BE"/>
        </w:rPr>
      </w:pPr>
      <w:r w:rsidRPr="00AF351C">
        <w:rPr>
          <w:b/>
          <w:bCs/>
          <w:sz w:val="21"/>
          <w:szCs w:val="21"/>
          <w:lang w:val="nl-BE"/>
        </w:rPr>
        <w:t>Voedselzekerheid</w:t>
      </w:r>
    </w:p>
    <w:p w14:paraId="55A49D18" w14:textId="77777777" w:rsidR="00AF351C" w:rsidRPr="00AF351C" w:rsidRDefault="00AF351C" w:rsidP="00A32ABD">
      <w:pPr>
        <w:spacing w:line="360" w:lineRule="auto"/>
        <w:rPr>
          <w:sz w:val="21"/>
          <w:szCs w:val="21"/>
          <w:lang w:val="nl-BE"/>
        </w:rPr>
      </w:pPr>
      <w:r w:rsidRPr="00AF351C">
        <w:rPr>
          <w:sz w:val="21"/>
          <w:szCs w:val="21"/>
          <w:lang w:val="nl-BE"/>
        </w:rPr>
        <w:t>Voedselzekerheid is een term die verwijst naar regelmatige toegang tot veilig, voedzaam en voldoende voedsel. In 2019,</w:t>
      </w:r>
    </w:p>
    <w:p w14:paraId="272B73FE" w14:textId="77777777" w:rsidR="00AF351C" w:rsidRPr="00AF351C" w:rsidRDefault="00AF351C" w:rsidP="00A32ABD">
      <w:pPr>
        <w:spacing w:line="360" w:lineRule="auto"/>
        <w:rPr>
          <w:sz w:val="21"/>
          <w:szCs w:val="21"/>
          <w:lang w:val="nl-BE"/>
        </w:rPr>
      </w:pPr>
      <w:r w:rsidRPr="00AF351C">
        <w:rPr>
          <w:sz w:val="21"/>
          <w:szCs w:val="21"/>
          <w:lang w:val="nl-BE"/>
        </w:rPr>
        <w:t>schattingen laten zien dat ongeveer 2 miljard mensen worden getroffen door matige of ernstige voedselonzekerheid.</w:t>
      </w:r>
    </w:p>
    <w:p w14:paraId="77AB0907" w14:textId="4933F6D7" w:rsidR="00AF351C" w:rsidRDefault="00AF351C" w:rsidP="00A32ABD">
      <w:pPr>
        <w:spacing w:line="360" w:lineRule="auto"/>
        <w:rPr>
          <w:sz w:val="21"/>
          <w:szCs w:val="21"/>
          <w:lang w:val="nl-BE"/>
        </w:rPr>
      </w:pPr>
      <w:r w:rsidRPr="00AF351C">
        <w:rPr>
          <w:sz w:val="21"/>
          <w:szCs w:val="21"/>
          <w:lang w:val="nl-BE"/>
        </w:rPr>
        <w:t>Figuur 2 geeft een verklaring voor de verschillende niveaus van ernst van voedselonzekerheid.</w:t>
      </w:r>
    </w:p>
    <w:p w14:paraId="6991799C" w14:textId="0CF337E8" w:rsidR="00AF351C" w:rsidRDefault="00AF351C" w:rsidP="00A32ABD">
      <w:pPr>
        <w:spacing w:line="360" w:lineRule="auto"/>
        <w:rPr>
          <w:sz w:val="21"/>
          <w:szCs w:val="21"/>
          <w:lang w:val="nl-BE"/>
        </w:rPr>
      </w:pPr>
    </w:p>
    <w:p w14:paraId="69B477C6" w14:textId="11C75C7E" w:rsidR="00AF351C" w:rsidRDefault="00AF351C" w:rsidP="00A32ABD">
      <w:pPr>
        <w:spacing w:line="360" w:lineRule="auto"/>
        <w:jc w:val="center"/>
        <w:rPr>
          <w:sz w:val="21"/>
          <w:szCs w:val="21"/>
          <w:lang w:val="nl-BE"/>
        </w:rPr>
      </w:pPr>
      <w:r>
        <w:rPr>
          <w:noProof/>
          <w:sz w:val="21"/>
          <w:szCs w:val="21"/>
          <w:lang w:val="nl-BE"/>
        </w:rPr>
        <w:lastRenderedPageBreak/>
        <w:drawing>
          <wp:inline distT="0" distB="0" distL="0" distR="0" wp14:anchorId="6B3A06F9" wp14:editId="48D0EAAA">
            <wp:extent cx="5303994" cy="3248722"/>
            <wp:effectExtent l="0" t="0" r="508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250" cy="325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145C" w14:textId="46836234" w:rsidR="00AF351C" w:rsidRDefault="00AF351C" w:rsidP="00A32ABD">
      <w:pPr>
        <w:spacing w:line="360" w:lineRule="auto"/>
        <w:jc w:val="center"/>
        <w:rPr>
          <w:sz w:val="21"/>
          <w:szCs w:val="21"/>
          <w:lang w:val="en-US"/>
        </w:rPr>
      </w:pPr>
      <w:r w:rsidRPr="00AF351C">
        <w:rPr>
          <w:sz w:val="21"/>
          <w:szCs w:val="21"/>
          <w:lang w:val="en-US"/>
        </w:rPr>
        <w:t>Figure 2 - Severity levels of food insecurity</w:t>
      </w:r>
    </w:p>
    <w:p w14:paraId="395B3E5B" w14:textId="77777777" w:rsidR="00A32ABD" w:rsidRDefault="00A32ABD" w:rsidP="00A32ABD">
      <w:pPr>
        <w:spacing w:line="360" w:lineRule="auto"/>
        <w:jc w:val="center"/>
        <w:rPr>
          <w:sz w:val="21"/>
          <w:szCs w:val="21"/>
          <w:lang w:val="en-US"/>
        </w:rPr>
      </w:pPr>
    </w:p>
    <w:p w14:paraId="12928F7D" w14:textId="77777777" w:rsidR="00AF351C" w:rsidRPr="00AF351C" w:rsidRDefault="00AF351C" w:rsidP="00A32ABD">
      <w:pPr>
        <w:spacing w:line="360" w:lineRule="auto"/>
        <w:rPr>
          <w:sz w:val="21"/>
          <w:szCs w:val="21"/>
          <w:lang w:val="nl-BE"/>
        </w:rPr>
      </w:pPr>
      <w:r w:rsidRPr="00AF351C">
        <w:rPr>
          <w:sz w:val="21"/>
          <w:szCs w:val="21"/>
          <w:lang w:val="nl-BE"/>
        </w:rPr>
        <w:t>Voedselonzekerheid kan het dieet verslechteren, waardoor het risico op verergering van ondervoeding toeneemt, evenals</w:t>
      </w:r>
    </w:p>
    <w:p w14:paraId="66ECF1CF" w14:textId="39424D33" w:rsidR="00AF351C" w:rsidRDefault="00AF351C" w:rsidP="00A32ABD">
      <w:pPr>
        <w:spacing w:line="360" w:lineRule="auto"/>
        <w:rPr>
          <w:sz w:val="21"/>
          <w:szCs w:val="21"/>
          <w:lang w:val="nl-BE"/>
        </w:rPr>
      </w:pPr>
      <w:r w:rsidRPr="00AF351C">
        <w:rPr>
          <w:sz w:val="21"/>
          <w:szCs w:val="21"/>
          <w:lang w:val="nl-BE"/>
        </w:rPr>
        <w:t>overgewicht en obesitas. Lage-inkomenslanden zijn in wezen afhankelijk van nietvoedsel (bijv.</w:t>
      </w:r>
      <w:r w:rsidR="00A32ABD">
        <w:rPr>
          <w:sz w:val="21"/>
          <w:szCs w:val="21"/>
          <w:lang w:val="nl-BE"/>
        </w:rPr>
        <w:t xml:space="preserve"> </w:t>
      </w:r>
      <w:r w:rsidRPr="00AF351C">
        <w:rPr>
          <w:sz w:val="21"/>
          <w:szCs w:val="21"/>
          <w:lang w:val="nl-BE"/>
        </w:rPr>
        <w:t>granen en knollen) en minder op groenten en fruit of dierlijke producten in vergelijking met hogere inkomens</w:t>
      </w:r>
      <w:r w:rsidR="00A32ABD">
        <w:rPr>
          <w:sz w:val="21"/>
          <w:szCs w:val="21"/>
          <w:lang w:val="nl-BE"/>
        </w:rPr>
        <w:t xml:space="preserve"> </w:t>
      </w:r>
      <w:r w:rsidRPr="00AF351C">
        <w:rPr>
          <w:sz w:val="21"/>
          <w:szCs w:val="21"/>
          <w:lang w:val="nl-BE"/>
        </w:rPr>
        <w:t>Landen. Toegang tot voedsel is nog steeds een uitdaging, vooral bij het bereiken van gezonde voeding.</w:t>
      </w:r>
      <w:r w:rsidR="00A32ABD">
        <w:rPr>
          <w:sz w:val="21"/>
          <w:szCs w:val="21"/>
          <w:lang w:val="nl-BE"/>
        </w:rPr>
        <w:t xml:space="preserve"> </w:t>
      </w:r>
      <w:r w:rsidRPr="00AF351C">
        <w:rPr>
          <w:sz w:val="21"/>
          <w:szCs w:val="21"/>
          <w:lang w:val="nl-BE"/>
        </w:rPr>
        <w:t>Sommige schattingen suggereren dat voor 3 miljard mensen toegang tot gezonde voeding onbetaalbaar is, omdat ze</w:t>
      </w:r>
      <w:r w:rsidR="00A32ABD">
        <w:rPr>
          <w:sz w:val="21"/>
          <w:szCs w:val="21"/>
          <w:lang w:val="nl-BE"/>
        </w:rPr>
        <w:t xml:space="preserve"> </w:t>
      </w:r>
      <w:r w:rsidRPr="00AF351C">
        <w:rPr>
          <w:sz w:val="21"/>
          <w:szCs w:val="21"/>
          <w:lang w:val="nl-BE"/>
        </w:rPr>
        <w:t>schatten dat ze vijf keer duurder zijn dan een dieet dat alleen aan energiebehoeften voldoet (dieet op basis van granen).</w:t>
      </w:r>
    </w:p>
    <w:p w14:paraId="0F7F65A9" w14:textId="256BC296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3214C531" w14:textId="7531B3BF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Om de toegankelijkheid tot gezondere voeding te vergroten, moeten de kosten van voedzamer voedsel omlaag.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Landen moeten een evenwicht vinden tussen landbouwbeleid en stimulansen voor meer gevoelige investeringen om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voedingskwesties en beleidsmaatregelen in de voedselvoorzieningsketen om voedselverspilling te verminderen 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verhoog de efficiëntie in alle stadia. Beleid inzake sociale bescherming dat gevoelig is voor voedingskwesties neemt toe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koopkracht en toegankelijkheid tot gezonde voeding voor de meest kwetsbare bevolkingsgroepen. Beleid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die proberen gedrag in het dieet te veranderen, zullen ook nodig zijn.</w:t>
      </w:r>
    </w:p>
    <w:p w14:paraId="0EC996EF" w14:textId="66AFFBB4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08582107" w14:textId="6A2DA285" w:rsidR="00A32ABD" w:rsidRDefault="00A32ABD" w:rsidP="00A32ABD">
      <w:pPr>
        <w:spacing w:line="360" w:lineRule="auto"/>
        <w:rPr>
          <w:b/>
          <w:bCs/>
          <w:sz w:val="21"/>
          <w:szCs w:val="21"/>
          <w:lang w:val="nl-BE"/>
        </w:rPr>
      </w:pPr>
      <w:r w:rsidRPr="00A32ABD">
        <w:rPr>
          <w:b/>
          <w:bCs/>
          <w:sz w:val="21"/>
          <w:szCs w:val="21"/>
          <w:lang w:val="nl-BE"/>
        </w:rPr>
        <w:t>Oorzaken voor honger, ondervoeding en voedselonzekerheid</w:t>
      </w:r>
    </w:p>
    <w:p w14:paraId="083EEADB" w14:textId="60072805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Er zijn verschillende redenen waarom de honger de afgelopen jaren is toegenomen. Slechte economische omstandigheden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zijn onderliggende oorzaken van de toename van armoede en ondervoeding. De economische vertraging,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met name sinds de financiële crisis van 2008-2009 heeft dit aanzienlijke gevolgen gehad voor de honger. Ondanks aanzienlijke vooruitgang in veel van de armste landen, ongeveer 10% van de wereldbevolking leeft nog steeds</w:t>
      </w:r>
    </w:p>
    <w:p w14:paraId="448330A4" w14:textId="0D972122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lastRenderedPageBreak/>
        <w:t>op minder dan $ 1,90 / dag, voornamelijk in Sub-Sahara Afrika en Zuidwest-Azië.</w:t>
      </w:r>
    </w:p>
    <w:p w14:paraId="59D90CAA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Een sterke afhankelijkheid van import en export is ook een van de factoren die verschillende landen maakt</w:t>
      </w:r>
    </w:p>
    <w:p w14:paraId="76C7C3AD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en regio's die kwetsbaarder zijn voor externe schokken. Grote ongelijkheden in de inkomensverdeling,</w:t>
      </w:r>
    </w:p>
    <w:p w14:paraId="68AAAF98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goederen en middelen en het ontbreken van een doeltreffend beleid inzake sociale bescherming, ook compromissen</w:t>
      </w:r>
    </w:p>
    <w:p w14:paraId="558F846E" w14:textId="5D77EDAB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toegang tot voedsel, vooral in de meest kwetsbare groepen.</w:t>
      </w:r>
    </w:p>
    <w:p w14:paraId="5CE59548" w14:textId="77777777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73BBA964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De toename van de frequentie van extreme weersomstandigheden, veranderde omgevingsomstandigheden en</w:t>
      </w:r>
    </w:p>
    <w:p w14:paraId="6E042A19" w14:textId="0F428BBF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de verspreiding van plagen en ziekten in de afgelopen 15 jaar zijn factoren die bijdragen aan de vicieuze cirkels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van honger en armoede, vooral wanneer verergerd door fragiele instellingen, conflicten, geweld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en de veralgemeende verplaatsing van bevolkingsgroepen. Het aantal ontheemden in 2018 was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ongeveer 70% hoger dan in 2010, met ongeveer 70,8 miljoen mensen, voornamelijk in ontwikkeling</w:t>
      </w:r>
      <w:r>
        <w:rPr>
          <w:sz w:val="21"/>
          <w:szCs w:val="21"/>
          <w:lang w:val="nl-BE"/>
        </w:rPr>
        <w:t xml:space="preserve"> l</w:t>
      </w:r>
      <w:r w:rsidRPr="00A32ABD">
        <w:rPr>
          <w:sz w:val="21"/>
          <w:szCs w:val="21"/>
          <w:lang w:val="nl-BE"/>
        </w:rPr>
        <w:t>anden.</w:t>
      </w:r>
    </w:p>
    <w:p w14:paraId="06F7D17E" w14:textId="6C2C7D9A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18970D3C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Kleine producenten en gemeenschappen die direct afhankelijk zijn van de productie van hun eigen voedsel zijn</w:t>
      </w:r>
    </w:p>
    <w:p w14:paraId="75E38402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de meest getroffen door deze verschijnselen. Bovendien is de prevalentie van honger hoger in landen</w:t>
      </w:r>
    </w:p>
    <w:p w14:paraId="344C34AE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met een snelle bevolkingsgroei en slechte toegang tot gezondheidszorg en onderwijs. Hiermee wordt een</w:t>
      </w:r>
    </w:p>
    <w:p w14:paraId="6A8DC150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directe relatie tussen voedselzekerheid, voeding en gezondheidsomstandigheden van de bevolking, die</w:t>
      </w:r>
    </w:p>
    <w:p w14:paraId="01DB6AF2" w14:textId="589886EA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heeft op zijn beurt invloed op het vooruitzicht van economische groei en ontwikkeling.</w:t>
      </w:r>
    </w:p>
    <w:p w14:paraId="6E7CB2FF" w14:textId="77777777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6B61AE45" w14:textId="40EBC15F" w:rsidR="00A32ABD" w:rsidRDefault="00A32ABD" w:rsidP="00A32ABD">
      <w:pPr>
        <w:spacing w:line="360" w:lineRule="auto"/>
        <w:rPr>
          <w:b/>
          <w:bCs/>
          <w:sz w:val="21"/>
          <w:szCs w:val="21"/>
          <w:lang w:val="nl-BE"/>
        </w:rPr>
      </w:pPr>
      <w:r w:rsidRPr="00A32ABD">
        <w:rPr>
          <w:b/>
          <w:bCs/>
          <w:sz w:val="21"/>
          <w:szCs w:val="21"/>
          <w:lang w:val="nl-BE"/>
        </w:rPr>
        <w:t>Ongelijkheden in het voedselsysteem</w:t>
      </w:r>
    </w:p>
    <w:p w14:paraId="3B73741A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Het rapport van de Global Hunger Index (2017) belicht de problemen van honger en ongelijkheid</w:t>
      </w:r>
    </w:p>
    <w:p w14:paraId="5739E1EF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versterkt door machtsverhoudingen. De problemen van honger en ondervoeding zijn enorm en ongelijk verdeeld</w:t>
      </w:r>
    </w:p>
    <w:p w14:paraId="629D7B84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Gedistribueerd. De groepen met de laagste sociale, economische en politieke macht zijn degenen die lijden</w:t>
      </w:r>
    </w:p>
    <w:p w14:paraId="4E987428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de meeste door honger en ondervoeding, zowel op het platteland in de armste landen als in de grote steden</w:t>
      </w:r>
    </w:p>
    <w:p w14:paraId="49AD1060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in gemarginaliseerde gemeenschappen in de rijkste landen. Dus, om deze te begrijpen</w:t>
      </w:r>
    </w:p>
    <w:p w14:paraId="0F5A17A8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ongelijkheden, het is noodzakelijk om de ongelijkheden in machtsverhoudingen die werken te begrijpen</w:t>
      </w:r>
    </w:p>
    <w:p w14:paraId="0E4A4746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in het hele voedselsysteem. Macht verwijst naar de mate van controle over materiële, menselijke,</w:t>
      </w:r>
    </w:p>
    <w:p w14:paraId="7BA0BF8D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intellectuele en financiële middelen.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In het voedselsysteem wordt deze macht uitgeoefend door verschillende actoren</w:t>
      </w:r>
    </w:p>
    <w:p w14:paraId="60E1761D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op verschillende manieren. Bijvoorbeeld via multinationale agrovoedingsbedrijven waarvan de macht</w:t>
      </w:r>
    </w:p>
    <w:p w14:paraId="447D13F9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beïnvloedt de aan- en verkoopprijzen van voedsel; overheidsstructuren, internationale organisaties of</w:t>
      </w:r>
    </w:p>
    <w:p w14:paraId="0D73FE58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publiek-private partnerschappen die voedselbeleid kunnen beïnvloeden, implementeren en blokkeren en mobiliseren</w:t>
      </w:r>
    </w:p>
    <w:p w14:paraId="35F12300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de publieke opinie; of de macht van individuen over de keuzes die ze hebben met betrekking tot hun voedsel</w:t>
      </w:r>
    </w:p>
    <w:p w14:paraId="2F66202C" w14:textId="6CF7A048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uitgaven.</w:t>
      </w:r>
    </w:p>
    <w:p w14:paraId="72CCD3F4" w14:textId="36EC23C3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1C24CDE1" w14:textId="1F7DDB7A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lastRenderedPageBreak/>
        <w:t>De ongelijkheid in de verdeling van honger en voeding weerspiegelt de ongelijkheid van macht tussen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de twee uitersten van het voedselsysteem: kleine boeren en laagbetaalde producenten en, aan de andere kant,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de meest kwetsbare en gemarginaliseerde groepen mensen die geconfronteerd worden met de problemen van honger 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ondervoeding</w:t>
      </w:r>
      <w:r>
        <w:rPr>
          <w:sz w:val="21"/>
          <w:szCs w:val="21"/>
          <w:lang w:val="nl-BE"/>
        </w:rPr>
        <w:t xml:space="preserve">. </w:t>
      </w:r>
    </w:p>
    <w:p w14:paraId="2A70D15E" w14:textId="7777777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In het licht van deze realiteit kan de analyse van machtsverhoudingen bijdragen tot meer rechtvaardigheid in de</w:t>
      </w:r>
    </w:p>
    <w:p w14:paraId="3A598B52" w14:textId="79915E50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r w:rsidRPr="00A32ABD">
        <w:rPr>
          <w:sz w:val="21"/>
          <w:szCs w:val="21"/>
          <w:lang w:val="nl-BE"/>
        </w:rPr>
        <w:t>distributie van voedsel door de actie van onderzoekers en analisten bij de identificatie van alle vormen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van honger en ondervoeding en de daarmee gepaard gaande machtsverhoudingen; het ontwerpen van beleid ter ondersteuning van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verandering van consumentengedrag, empowerment van vrouwen en voedselzekerheid en de rol van activisten,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professionals en politieke en economische besluitvormers bij het identificeren van de noodzakelijke ruimtes voor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verandering, de barrières die worden ondervonden, bij het plannen van mogelijke sancties voor het indammen van de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macht 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de meest kwetsbare bevolkingsgroepen in staat stellen hun macht te vergroten bij het kiezen van het voedsel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dat ze kiezen</w:t>
      </w:r>
      <w:r>
        <w:rPr>
          <w:sz w:val="21"/>
          <w:szCs w:val="21"/>
          <w:lang w:val="nl-BE"/>
        </w:rPr>
        <w:t xml:space="preserve"> </w:t>
      </w:r>
      <w:r w:rsidRPr="00A32ABD">
        <w:rPr>
          <w:sz w:val="21"/>
          <w:szCs w:val="21"/>
          <w:lang w:val="nl-BE"/>
        </w:rPr>
        <w:t>consumeren.</w:t>
      </w:r>
    </w:p>
    <w:p w14:paraId="58DC16AD" w14:textId="0E5ECF2E" w:rsidR="00A32ABD" w:rsidRDefault="00A32ABD" w:rsidP="00A32ABD">
      <w:pPr>
        <w:spacing w:line="360" w:lineRule="auto"/>
        <w:rPr>
          <w:sz w:val="21"/>
          <w:szCs w:val="21"/>
          <w:lang w:val="nl-BE"/>
        </w:rPr>
      </w:pPr>
    </w:p>
    <w:p w14:paraId="663ED380" w14:textId="3B15E2D8" w:rsidR="00A32ABD" w:rsidRPr="00A32ABD" w:rsidRDefault="00A32ABD" w:rsidP="00A32ABD">
      <w:pPr>
        <w:spacing w:line="360" w:lineRule="auto"/>
        <w:rPr>
          <w:b/>
          <w:bCs/>
          <w:sz w:val="21"/>
          <w:szCs w:val="21"/>
          <w:lang w:val="nl-BE"/>
        </w:rPr>
      </w:pPr>
      <w:r w:rsidRPr="00A32ABD">
        <w:rPr>
          <w:b/>
          <w:bCs/>
          <w:sz w:val="21"/>
          <w:szCs w:val="21"/>
          <w:lang w:val="nl-BE"/>
        </w:rPr>
        <w:t>Bibliografie</w:t>
      </w:r>
    </w:p>
    <w:p w14:paraId="51AC530E" w14:textId="409E053B" w:rsidR="00A32ABD" w:rsidRDefault="00A32ABD" w:rsidP="00A32ABD">
      <w:pPr>
        <w:spacing w:line="360" w:lineRule="auto"/>
        <w:rPr>
          <w:sz w:val="21"/>
          <w:szCs w:val="21"/>
          <w:lang w:val="nl-BE"/>
        </w:rPr>
      </w:pPr>
      <w:hyperlink r:id="rId9" w:history="1">
        <w:r w:rsidRPr="00AB1E1A">
          <w:rPr>
            <w:rStyle w:val="Hyperlink"/>
            <w:sz w:val="21"/>
            <w:szCs w:val="21"/>
            <w:lang w:val="nl-BE"/>
          </w:rPr>
          <w:t>https://www.globalhungerindex.org/</w:t>
        </w:r>
      </w:hyperlink>
    </w:p>
    <w:p w14:paraId="5B0C88F2" w14:textId="5C8C2747" w:rsidR="00A32ABD" w:rsidRPr="00A32ABD" w:rsidRDefault="00A32ABD" w:rsidP="00A32ABD">
      <w:pPr>
        <w:spacing w:line="360" w:lineRule="auto"/>
        <w:rPr>
          <w:sz w:val="21"/>
          <w:szCs w:val="21"/>
          <w:lang w:val="nl-BE"/>
        </w:rPr>
      </w:pPr>
      <w:hyperlink r:id="rId10" w:history="1">
        <w:r w:rsidRPr="00AB1E1A">
          <w:rPr>
            <w:rStyle w:val="Hyperlink"/>
            <w:sz w:val="21"/>
            <w:szCs w:val="21"/>
            <w:lang w:val="nl-BE"/>
          </w:rPr>
          <w:t>https://www.fao.org/home/en/</w:t>
        </w:r>
      </w:hyperlink>
      <w:r>
        <w:rPr>
          <w:sz w:val="21"/>
          <w:szCs w:val="21"/>
          <w:lang w:val="nl-BE"/>
        </w:rPr>
        <w:t xml:space="preserve"> </w:t>
      </w:r>
    </w:p>
    <w:sectPr w:rsidR="00A32ABD" w:rsidRPr="00A32ABD" w:rsidSect="0006022B">
      <w:headerReference w:type="default" r:id="rId11"/>
      <w:footerReference w:type="default" r:id="rId12"/>
      <w:pgSz w:w="11906" w:h="16838" w:code="9"/>
      <w:pgMar w:top="2268" w:right="851" w:bottom="1701" w:left="851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56F1" w14:textId="77777777" w:rsidR="00F21A23" w:rsidRDefault="00F21A23">
      <w:r>
        <w:separator/>
      </w:r>
    </w:p>
  </w:endnote>
  <w:endnote w:type="continuationSeparator" w:id="0">
    <w:p w14:paraId="489D94BF" w14:textId="77777777" w:rsidR="00F21A23" w:rsidRDefault="00F21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176" w:type="dxa"/>
      <w:tblLook w:val="04A0" w:firstRow="1" w:lastRow="0" w:firstColumn="1" w:lastColumn="0" w:noHBand="0" w:noVBand="1"/>
    </w:tblPr>
    <w:tblGrid>
      <w:gridCol w:w="4962"/>
      <w:gridCol w:w="1418"/>
      <w:gridCol w:w="4394"/>
    </w:tblGrid>
    <w:tr w:rsidR="00FF50FE" w14:paraId="27B9F4DC" w14:textId="77777777" w:rsidTr="004D0D5B">
      <w:trPr>
        <w:trHeight w:val="992"/>
      </w:trPr>
      <w:tc>
        <w:tcPr>
          <w:tcW w:w="4962" w:type="dxa"/>
          <w:shd w:val="clear" w:color="auto" w:fill="auto"/>
          <w:tcMar>
            <w:left w:w="57" w:type="dxa"/>
            <w:right w:w="57" w:type="dxa"/>
          </w:tcMar>
          <w:vAlign w:val="center"/>
        </w:tcPr>
        <w:p w14:paraId="2436DE71" w14:textId="77777777" w:rsidR="00395918" w:rsidRPr="004D0D5B" w:rsidRDefault="00395918" w:rsidP="00395918">
          <w:pPr>
            <w:pStyle w:val="Voettekst"/>
            <w:rPr>
              <w:rFonts w:ascii="Arial" w:hAnsi="Arial"/>
              <w:color w:val="005294"/>
              <w:sz w:val="8"/>
              <w:szCs w:val="8"/>
            </w:rPr>
          </w:pPr>
          <w:r w:rsidRPr="004D0D5B">
            <w:rPr>
              <w:rFonts w:ascii="Arial" w:hAnsi="Arial"/>
              <w:b/>
              <w:color w:val="005294"/>
              <w:sz w:val="16"/>
              <w:szCs w:val="16"/>
            </w:rPr>
            <w:t>Erasmus</w:t>
          </w:r>
          <w:proofErr w:type="gramStart"/>
          <w:r w:rsidRPr="004D0D5B">
            <w:rPr>
              <w:rFonts w:ascii="Arial" w:hAnsi="Arial"/>
              <w:b/>
              <w:color w:val="005294"/>
              <w:sz w:val="16"/>
              <w:szCs w:val="16"/>
            </w:rPr>
            <w:t>+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 xml:space="preserve">  2019</w:t>
          </w:r>
          <w:proofErr w:type="gramEnd"/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-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1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-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ES01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-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KA202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-</w:t>
          </w:r>
          <w:r w:rsidRPr="004D0D5B">
            <w:rPr>
              <w:rFonts w:ascii="Arial" w:hAnsi="Arial"/>
              <w:color w:val="005294"/>
              <w:sz w:val="8"/>
              <w:szCs w:val="8"/>
            </w:rPr>
            <w:t xml:space="preserve"> </w:t>
          </w:r>
          <w:r w:rsidRPr="004D0D5B">
            <w:rPr>
              <w:rFonts w:ascii="Arial" w:hAnsi="Arial"/>
              <w:color w:val="005294"/>
              <w:sz w:val="16"/>
              <w:szCs w:val="16"/>
            </w:rPr>
            <w:t>064622</w:t>
          </w:r>
        </w:p>
        <w:p w14:paraId="680069DE" w14:textId="77777777" w:rsidR="00395918" w:rsidRPr="004D0D5B" w:rsidRDefault="00395918" w:rsidP="00395918">
          <w:pPr>
            <w:pStyle w:val="Voettekst"/>
            <w:rPr>
              <w:rFonts w:ascii="Arial" w:hAnsi="Arial"/>
              <w:color w:val="005294"/>
              <w:sz w:val="8"/>
              <w:szCs w:val="8"/>
            </w:rPr>
          </w:pPr>
        </w:p>
        <w:p w14:paraId="72EA5B29" w14:textId="77777777" w:rsidR="00FF50FE" w:rsidRDefault="00395918" w:rsidP="00395918">
          <w:pPr>
            <w:pStyle w:val="Voettekst"/>
          </w:pPr>
          <w:r w:rsidRPr="004D0D5B">
            <w:rPr>
              <w:rFonts w:ascii="Arial" w:hAnsi="Arial"/>
              <w:color w:val="005294"/>
              <w:sz w:val="15"/>
              <w:szCs w:val="15"/>
            </w:rPr>
            <w:t xml:space="preserve">KA202 - </w:t>
          </w:r>
          <w:proofErr w:type="spellStart"/>
          <w:r w:rsidRPr="004D0D5B">
            <w:rPr>
              <w:rFonts w:ascii="Arial" w:hAnsi="Arial"/>
              <w:color w:val="005294"/>
              <w:sz w:val="15"/>
              <w:szCs w:val="15"/>
            </w:rPr>
            <w:t>Strategic</w:t>
          </w:r>
          <w:proofErr w:type="spellEnd"/>
          <w:r w:rsidRPr="004D0D5B">
            <w:rPr>
              <w:rFonts w:ascii="Arial" w:hAnsi="Arial"/>
              <w:color w:val="005294"/>
              <w:sz w:val="15"/>
              <w:szCs w:val="15"/>
            </w:rPr>
            <w:t xml:space="preserve"> </w:t>
          </w:r>
          <w:proofErr w:type="spellStart"/>
          <w:r w:rsidRPr="004D0D5B">
            <w:rPr>
              <w:rFonts w:ascii="Arial" w:hAnsi="Arial"/>
              <w:color w:val="005294"/>
              <w:sz w:val="15"/>
              <w:szCs w:val="15"/>
            </w:rPr>
            <w:t>Partnerships</w:t>
          </w:r>
          <w:proofErr w:type="spellEnd"/>
          <w:r w:rsidRPr="004D0D5B">
            <w:rPr>
              <w:rFonts w:ascii="Arial" w:hAnsi="Arial"/>
              <w:color w:val="005294"/>
              <w:sz w:val="15"/>
              <w:szCs w:val="15"/>
            </w:rPr>
            <w:t xml:space="preserve"> </w:t>
          </w:r>
          <w:proofErr w:type="spellStart"/>
          <w:r w:rsidRPr="004D0D5B">
            <w:rPr>
              <w:rFonts w:ascii="Arial" w:hAnsi="Arial"/>
              <w:color w:val="005294"/>
              <w:sz w:val="15"/>
              <w:szCs w:val="15"/>
            </w:rPr>
            <w:t>for</w:t>
          </w:r>
          <w:proofErr w:type="spellEnd"/>
          <w:r w:rsidRPr="004D0D5B">
            <w:rPr>
              <w:rFonts w:ascii="Arial" w:hAnsi="Arial"/>
              <w:color w:val="005294"/>
              <w:sz w:val="15"/>
              <w:szCs w:val="15"/>
            </w:rPr>
            <w:t xml:space="preserve"> </w:t>
          </w:r>
          <w:proofErr w:type="spellStart"/>
          <w:r w:rsidRPr="004D0D5B">
            <w:rPr>
              <w:rFonts w:ascii="Arial" w:hAnsi="Arial"/>
              <w:color w:val="005294"/>
              <w:sz w:val="15"/>
              <w:szCs w:val="15"/>
            </w:rPr>
            <w:t>Vocational</w:t>
          </w:r>
          <w:proofErr w:type="spellEnd"/>
          <w:r w:rsidRPr="004D0D5B">
            <w:rPr>
              <w:rFonts w:ascii="Arial" w:hAnsi="Arial"/>
              <w:color w:val="005294"/>
              <w:sz w:val="15"/>
              <w:szCs w:val="15"/>
            </w:rPr>
            <w:t xml:space="preserve"> </w:t>
          </w:r>
          <w:proofErr w:type="spellStart"/>
          <w:r w:rsidRPr="004D0D5B">
            <w:rPr>
              <w:rFonts w:ascii="Arial" w:hAnsi="Arial"/>
              <w:color w:val="005294"/>
              <w:sz w:val="15"/>
              <w:szCs w:val="15"/>
            </w:rPr>
            <w:t>Education</w:t>
          </w:r>
          <w:proofErr w:type="spellEnd"/>
          <w:r w:rsidRPr="004D0D5B">
            <w:rPr>
              <w:rFonts w:ascii="Arial" w:hAnsi="Arial"/>
              <w:color w:val="005294"/>
              <w:sz w:val="15"/>
              <w:szCs w:val="15"/>
            </w:rPr>
            <w:t xml:space="preserve"> and Training</w:t>
          </w:r>
        </w:p>
      </w:tc>
      <w:tc>
        <w:tcPr>
          <w:tcW w:w="1418" w:type="dxa"/>
          <w:shd w:val="clear" w:color="auto" w:fill="auto"/>
          <w:tcMar>
            <w:left w:w="57" w:type="dxa"/>
            <w:right w:w="57" w:type="dxa"/>
          </w:tcMar>
          <w:vAlign w:val="center"/>
        </w:tcPr>
        <w:p w14:paraId="23B83B38" w14:textId="77777777" w:rsidR="00FF50FE" w:rsidRDefault="00FF50FE">
          <w:pPr>
            <w:pStyle w:val="Voettekst"/>
          </w:pPr>
        </w:p>
      </w:tc>
      <w:tc>
        <w:tcPr>
          <w:tcW w:w="4394" w:type="dxa"/>
          <w:shd w:val="clear" w:color="auto" w:fill="auto"/>
          <w:tcMar>
            <w:left w:w="57" w:type="dxa"/>
            <w:right w:w="57" w:type="dxa"/>
          </w:tcMar>
          <w:vAlign w:val="center"/>
        </w:tcPr>
        <w:p w14:paraId="6DC4889E" w14:textId="77777777" w:rsidR="00FF50FE" w:rsidRPr="004D0D5B" w:rsidRDefault="00E43B5B" w:rsidP="004D0D5B">
          <w:pPr>
            <w:pStyle w:val="Voettekst"/>
            <w:jc w:val="right"/>
            <w:rPr>
              <w:sz w:val="15"/>
              <w:szCs w:val="15"/>
            </w:rPr>
          </w:pPr>
          <w:r>
            <w:rPr>
              <w:noProof/>
            </w:rPr>
            <w:drawing>
              <wp:inline distT="0" distB="0" distL="0" distR="0" wp14:anchorId="14615E79" wp14:editId="767210B6">
                <wp:extent cx="1937385" cy="481330"/>
                <wp:effectExtent l="0" t="0" r="0" b="0"/>
                <wp:docPr id="1" name="Afbeeldi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738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3F35F49" w14:textId="77777777" w:rsidR="00FF50FE" w:rsidRDefault="00FF50F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4B565" w14:textId="77777777" w:rsidR="00F21A23" w:rsidRDefault="00F21A23">
      <w:r>
        <w:separator/>
      </w:r>
    </w:p>
  </w:footnote>
  <w:footnote w:type="continuationSeparator" w:id="0">
    <w:p w14:paraId="16E10162" w14:textId="77777777" w:rsidR="00F21A23" w:rsidRDefault="00F21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4FFB6" w14:textId="77777777" w:rsidR="00FF50FE" w:rsidRDefault="00FF50FE">
    <w:pPr>
      <w:pStyle w:val="Koptekst"/>
    </w:pPr>
  </w:p>
  <w:p w14:paraId="6E72E93E" w14:textId="77777777" w:rsidR="00FF50FE" w:rsidRDefault="00E43B5B">
    <w:pPr>
      <w:pStyle w:val="Koptekst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439E395" wp14:editId="0BDC853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5230" cy="1431925"/>
          <wp:effectExtent l="0" t="0" r="0" b="0"/>
          <wp:wrapNone/>
          <wp:docPr id="16" name="Afbeelding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43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5EEC69A" wp14:editId="5445C9F3">
              <wp:simplePos x="0" y="0"/>
              <wp:positionH relativeFrom="column">
                <wp:posOffset>-685800</wp:posOffset>
              </wp:positionH>
              <wp:positionV relativeFrom="paragraph">
                <wp:posOffset>2325370</wp:posOffset>
              </wp:positionV>
              <wp:extent cx="152400" cy="5829300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5829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7FE45" w14:textId="77777777" w:rsidR="00FF50FE" w:rsidRPr="00B250A5" w:rsidRDefault="00FF50FE">
                          <w:pPr>
                            <w:rPr>
                              <w:rFonts w:ascii="Trebuchet MS" w:hAnsi="Trebuchet MS"/>
                              <w:color w:val="008000"/>
                              <w:sz w:val="12"/>
                              <w:szCs w:val="12"/>
                            </w:rPr>
                          </w:pPr>
                          <w:r w:rsidRPr="00B250A5">
                            <w:rPr>
                              <w:rFonts w:ascii="Trebuchet MS" w:hAnsi="Trebuchet MS"/>
                              <w:color w:val="008000"/>
                              <w:sz w:val="12"/>
                              <w:szCs w:val="12"/>
                            </w:rPr>
                            <w:t xml:space="preserve">Número de Registro en el Ministerio del </w:t>
                          </w:r>
                          <w:proofErr w:type="gramStart"/>
                          <w:r w:rsidRPr="00B250A5">
                            <w:rPr>
                              <w:rFonts w:ascii="Trebuchet MS" w:hAnsi="Trebuchet MS"/>
                              <w:color w:val="008000"/>
                              <w:sz w:val="12"/>
                              <w:szCs w:val="12"/>
                            </w:rPr>
                            <w:t>Interior  160.477</w:t>
                          </w:r>
                          <w:proofErr w:type="gramEnd"/>
                          <w:r w:rsidRPr="00B250A5">
                            <w:rPr>
                              <w:rFonts w:ascii="Trebuchet MS" w:hAnsi="Trebuchet MS"/>
                              <w:color w:val="008000"/>
                              <w:sz w:val="12"/>
                              <w:szCs w:val="12"/>
                            </w:rPr>
                            <w:t xml:space="preserve"> – Número de Registro de ONGD en la Agencia Española de Cooperación Internacional 162 – CIF: G-09 310 749</w:t>
                          </w:r>
                        </w:p>
                      </w:txbxContent>
                    </wps:txbx>
                    <wps:bodyPr rot="0" vert="vert270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EC69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54pt;margin-top:183.1pt;width:12pt;height:45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" filled="f" stroked="f">
              <v:path arrowok="t"/>
              <v:textbox style="layout-flow:vertical;mso-layout-flow-alt:bottom-to-top" inset=".5mm,.5mm,.5mm,.5mm">
                <w:txbxContent>
                  <w:p w14:paraId="10F7FE45" w14:textId="77777777" w:rsidR="00FF50FE" w:rsidRPr="00B250A5" w:rsidRDefault="00FF50FE">
                    <w:pPr>
                      <w:rPr>
                        <w:rFonts w:ascii="Trebuchet MS" w:hAnsi="Trebuchet MS"/>
                        <w:color w:val="008000"/>
                        <w:sz w:val="12"/>
                        <w:szCs w:val="12"/>
                      </w:rPr>
                    </w:pPr>
                    <w:r w:rsidRPr="00B250A5">
                      <w:rPr>
                        <w:rFonts w:ascii="Trebuchet MS" w:hAnsi="Trebuchet MS"/>
                        <w:color w:val="008000"/>
                        <w:sz w:val="12"/>
                        <w:szCs w:val="12"/>
                      </w:rPr>
                      <w:t xml:space="preserve">Número de Registro en el Ministerio del </w:t>
                    </w:r>
                    <w:proofErr w:type="gramStart"/>
                    <w:r w:rsidRPr="00B250A5">
                      <w:rPr>
                        <w:rFonts w:ascii="Trebuchet MS" w:hAnsi="Trebuchet MS"/>
                        <w:color w:val="008000"/>
                        <w:sz w:val="12"/>
                        <w:szCs w:val="12"/>
                      </w:rPr>
                      <w:t>Interior  160.477</w:t>
                    </w:r>
                    <w:proofErr w:type="gramEnd"/>
                    <w:r w:rsidRPr="00B250A5">
                      <w:rPr>
                        <w:rFonts w:ascii="Trebuchet MS" w:hAnsi="Trebuchet MS"/>
                        <w:color w:val="008000"/>
                        <w:sz w:val="12"/>
                        <w:szCs w:val="12"/>
                      </w:rPr>
                      <w:t xml:space="preserve"> – Número de Registro de ONGD en la Agencia Española de Cooperación Internacional 162 – CIF: G-09 310 749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D4512"/>
    <w:multiLevelType w:val="hybridMultilevel"/>
    <w:tmpl w:val="F2AC6BB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DE"/>
    <w:rsid w:val="0000013C"/>
    <w:rsid w:val="0006022B"/>
    <w:rsid w:val="00133B88"/>
    <w:rsid w:val="00157B9F"/>
    <w:rsid w:val="00186DB7"/>
    <w:rsid w:val="00264CB1"/>
    <w:rsid w:val="00267B43"/>
    <w:rsid w:val="002E38BB"/>
    <w:rsid w:val="00304D92"/>
    <w:rsid w:val="00312226"/>
    <w:rsid w:val="00317A0B"/>
    <w:rsid w:val="00395918"/>
    <w:rsid w:val="00457739"/>
    <w:rsid w:val="0046647D"/>
    <w:rsid w:val="004735BC"/>
    <w:rsid w:val="004B41A6"/>
    <w:rsid w:val="004D0D5B"/>
    <w:rsid w:val="004E4C66"/>
    <w:rsid w:val="00562A42"/>
    <w:rsid w:val="00591C84"/>
    <w:rsid w:val="00606D94"/>
    <w:rsid w:val="006324AE"/>
    <w:rsid w:val="00654046"/>
    <w:rsid w:val="00690C29"/>
    <w:rsid w:val="006B312A"/>
    <w:rsid w:val="00781580"/>
    <w:rsid w:val="00783635"/>
    <w:rsid w:val="00821E1E"/>
    <w:rsid w:val="00844227"/>
    <w:rsid w:val="008D1296"/>
    <w:rsid w:val="008F11DE"/>
    <w:rsid w:val="00904CAF"/>
    <w:rsid w:val="009125DB"/>
    <w:rsid w:val="009600C8"/>
    <w:rsid w:val="009C6D4A"/>
    <w:rsid w:val="009E031E"/>
    <w:rsid w:val="00A158A8"/>
    <w:rsid w:val="00A32ABD"/>
    <w:rsid w:val="00AC4EA5"/>
    <w:rsid w:val="00AF351C"/>
    <w:rsid w:val="00B1742D"/>
    <w:rsid w:val="00B250A5"/>
    <w:rsid w:val="00B878E8"/>
    <w:rsid w:val="00BB1B06"/>
    <w:rsid w:val="00C07B42"/>
    <w:rsid w:val="00C2626D"/>
    <w:rsid w:val="00CA217B"/>
    <w:rsid w:val="00D13CE6"/>
    <w:rsid w:val="00D30318"/>
    <w:rsid w:val="00D339DC"/>
    <w:rsid w:val="00D8307B"/>
    <w:rsid w:val="00D93F3B"/>
    <w:rsid w:val="00E008E4"/>
    <w:rsid w:val="00E05CF5"/>
    <w:rsid w:val="00E43B5B"/>
    <w:rsid w:val="00E50F9B"/>
    <w:rsid w:val="00E815CB"/>
    <w:rsid w:val="00E941FC"/>
    <w:rsid w:val="00F21A23"/>
    <w:rsid w:val="00F8326F"/>
    <w:rsid w:val="00F85466"/>
    <w:rsid w:val="00FC3558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2604189A"/>
  <w14:defaultImageDpi w14:val="300"/>
  <w15:chartTrackingRefBased/>
  <w15:docId w15:val="{96C42367-F194-C34F-BE92-75615E5A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9600C8"/>
    <w:rPr>
      <w:sz w:val="24"/>
      <w:lang w:val="es-ES" w:eastAsia="es-E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C07B42"/>
    <w:pPr>
      <w:tabs>
        <w:tab w:val="center" w:pos="4252"/>
        <w:tab w:val="right" w:pos="8504"/>
      </w:tabs>
    </w:pPr>
  </w:style>
  <w:style w:type="paragraph" w:styleId="Voettekst">
    <w:name w:val="footer"/>
    <w:basedOn w:val="Standaard"/>
    <w:rsid w:val="00C07B42"/>
    <w:pPr>
      <w:tabs>
        <w:tab w:val="center" w:pos="4252"/>
        <w:tab w:val="right" w:pos="8504"/>
      </w:tabs>
    </w:pPr>
  </w:style>
  <w:style w:type="paragraph" w:styleId="Plattetekstinspringen">
    <w:name w:val="Body Text Indent"/>
    <w:basedOn w:val="Standaard"/>
    <w:rsid w:val="009600C8"/>
    <w:pPr>
      <w:ind w:left="708" w:firstLine="708"/>
      <w:jc w:val="both"/>
    </w:pPr>
    <w:rPr>
      <w:rFonts w:ascii="Arial" w:hAnsi="Arial" w:cs="Arial"/>
      <w:sz w:val="28"/>
      <w:lang w:val="es-ES_tradnl"/>
    </w:rPr>
  </w:style>
  <w:style w:type="paragraph" w:styleId="Plattetekst">
    <w:name w:val="Body Text"/>
    <w:basedOn w:val="Standaard"/>
    <w:link w:val="PlattetekstChar"/>
    <w:rsid w:val="00D8307B"/>
    <w:pPr>
      <w:spacing w:after="120"/>
    </w:pPr>
  </w:style>
  <w:style w:type="character" w:customStyle="1" w:styleId="PlattetekstChar">
    <w:name w:val="Platte tekst Char"/>
    <w:link w:val="Plattetekst"/>
    <w:rsid w:val="00D8307B"/>
    <w:rPr>
      <w:sz w:val="24"/>
    </w:rPr>
  </w:style>
  <w:style w:type="table" w:styleId="Tabelraster">
    <w:name w:val="Table Grid"/>
    <w:basedOn w:val="Standaardtabel"/>
    <w:rsid w:val="000602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72"/>
    <w:qFormat/>
    <w:rsid w:val="00783635"/>
    <w:pPr>
      <w:ind w:left="708"/>
    </w:pPr>
  </w:style>
  <w:style w:type="character" w:styleId="Hyperlink">
    <w:name w:val="Hyperlink"/>
    <w:basedOn w:val="Standaardalinea-lettertype"/>
    <w:rsid w:val="00A32AB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32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4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fao.org/home/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lobalhungerindex.or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cos\AppData\Roaming\Microsoft\Plantillas\AMYCOS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C:\Users\Amycos\AppData\Roaming\Microsoft\Plantillas\AMYCOS.dot</Template>
  <TotalTime>1</TotalTime>
  <Pages>5</Pages>
  <Words>1307</Words>
  <Characters>8077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Burgos, 11 de marzo de 2008</vt:lpstr>
      <vt:lpstr>Burgos, 11 de marzo de 2008</vt:lpstr>
    </vt:vector>
  </TitlesOfParts>
  <Company/>
  <LinksUpToDate>false</LinksUpToDate>
  <CharactersWithSpaces>9366</CharactersWithSpaces>
  <SharedDoc>false</SharedDoc>
  <HLinks>
    <vt:vector size="12" baseType="variant">
      <vt:variant>
        <vt:i4>8192124</vt:i4>
      </vt:variant>
      <vt:variant>
        <vt:i4>2205</vt:i4>
      </vt:variant>
      <vt:variant>
        <vt:i4>1025</vt:i4>
      </vt:variant>
      <vt:variant>
        <vt:i4>1</vt:i4>
      </vt:variant>
      <vt:variant>
        <vt:lpwstr>logoAmycos</vt:lpwstr>
      </vt:variant>
      <vt:variant>
        <vt:lpwstr/>
      </vt:variant>
      <vt:variant>
        <vt:i4>1245201</vt:i4>
      </vt:variant>
      <vt:variant>
        <vt:i4>-1</vt:i4>
      </vt:variant>
      <vt:variant>
        <vt:i4>2064</vt:i4>
      </vt:variant>
      <vt:variant>
        <vt:i4>1</vt:i4>
      </vt:variant>
      <vt:variant>
        <vt:lpwstr>cabeceraStairway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Burgos, 11 de marzo de 2008</dc:title>
  <dc:subject/>
  <dc:creator>Amycos</dc:creator>
  <cp:keywords/>
  <dc:description/>
  <cp:lastModifiedBy>Dina Cheikh</cp:lastModifiedBy>
  <cp:revision>2</cp:revision>
  <cp:lastPrinted>2020-01-07T10:41:00Z</cp:lastPrinted>
  <dcterms:created xsi:type="dcterms:W3CDTF">2021-11-12T10:19:00Z</dcterms:created>
  <dcterms:modified xsi:type="dcterms:W3CDTF">2021-11-12T10:19:00Z</dcterms:modified>
</cp:coreProperties>
</file>